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61FB" w14:textId="100C286C" w:rsidR="00A71823" w:rsidRPr="000C3D27" w:rsidRDefault="00A71823" w:rsidP="00A71823">
      <w:pPr>
        <w:suppressAutoHyphens/>
        <w:autoSpaceDN w:val="0"/>
        <w:jc w:val="center"/>
        <w:textAlignment w:val="baseline"/>
        <w:rPr>
          <w:rFonts w:eastAsia="標楷體"/>
          <w:b/>
          <w:color w:val="000000"/>
          <w:kern w:val="3"/>
          <w:sz w:val="28"/>
          <w:szCs w:val="28"/>
        </w:rPr>
      </w:pPr>
      <w:r w:rsidRPr="000C3D27">
        <w:rPr>
          <w:rFonts w:ascii="標楷體" w:eastAsia="標楷體" w:hAnsi="標楷體"/>
          <w:b/>
          <w:bCs/>
          <w:sz w:val="28"/>
          <w:szCs w:val="28"/>
        </w:rPr>
        <w:t>亞洲大學優良班級導師選拔及獎勵實施要點</w:t>
      </w:r>
    </w:p>
    <w:p w14:paraId="369ABF1D" w14:textId="77777777" w:rsidR="00A71823" w:rsidRPr="000C3D27" w:rsidRDefault="00A71823" w:rsidP="00A71823">
      <w:pPr>
        <w:tabs>
          <w:tab w:val="left" w:pos="6915"/>
        </w:tabs>
        <w:spacing w:line="300" w:lineRule="exact"/>
        <w:jc w:val="right"/>
        <w:rPr>
          <w:rFonts w:ascii="標楷體" w:eastAsia="標楷體" w:hAnsi="標楷體"/>
          <w:sz w:val="20"/>
          <w:szCs w:val="20"/>
        </w:rPr>
      </w:pPr>
      <w:r w:rsidRPr="000C3D27">
        <w:rPr>
          <w:rFonts w:ascii="標楷體" w:eastAsia="標楷體" w:hAnsi="標楷體"/>
          <w:sz w:val="20"/>
          <w:szCs w:val="20"/>
        </w:rPr>
        <w:t>92.03.26行政會議通過</w:t>
      </w:r>
    </w:p>
    <w:p w14:paraId="69A288B6"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94.11.30 94學年第5次行政會議通過修正優良導師獎勵辦法為本要點</w:t>
      </w:r>
    </w:p>
    <w:p w14:paraId="1B638B68"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94.12.08亞洲秘字第9402537號函發布</w:t>
      </w:r>
    </w:p>
    <w:p w14:paraId="54E7CDBA"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96.05.09 95學年度第5次行政會議通過合併第2、3點條文；修正法規體例、第1、2、3、5、6、7點條文；第3至7點點次變更</w:t>
      </w:r>
    </w:p>
    <w:p w14:paraId="5BCC3435"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95.05.29亞洲秘字第0960003206號函發布</w:t>
      </w:r>
    </w:p>
    <w:p w14:paraId="43FBB4B6"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98.11.18 98學年度第4次行政會議通過修正第1、2、3、4、5點條文</w:t>
      </w:r>
    </w:p>
    <w:p w14:paraId="2A5093B1"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98.11.26 亞洲秘字第0980011418號函發布</w:t>
      </w:r>
    </w:p>
    <w:p w14:paraId="703EC484"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99.9.15 99學年度第2次行政會議通過修正第2、3、4點條文</w:t>
      </w:r>
    </w:p>
    <w:p w14:paraId="3305E647"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99.10.19亞洲秘字第0990010573號函發布</w:t>
      </w:r>
    </w:p>
    <w:p w14:paraId="0460020C"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101.7.25 100學年度第12次行政會議通過修正第1、2、3、4、5、6、7點條文</w:t>
      </w:r>
    </w:p>
    <w:p w14:paraId="723B2813"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101.08.07 亞洲秘字第1010008480號函發布</w:t>
      </w:r>
    </w:p>
    <w:p w14:paraId="627D5710"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103.04.30 102學年度第9次行政會議通過修訂第1、2、5點條文</w:t>
      </w:r>
    </w:p>
    <w:p w14:paraId="7D81EBE2"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103.05.20 亞洲秘字第1030006359號函發布</w:t>
      </w:r>
    </w:p>
    <w:p w14:paraId="7C432C97"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103.11.26 103學年度第4次行政會議通過修訂第2、3、5、6點條文</w:t>
      </w:r>
    </w:p>
    <w:p w14:paraId="3812A7D9"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103.12.22 亞洲秘字第1030016040號函發布</w:t>
      </w:r>
    </w:p>
    <w:p w14:paraId="3EBE0793"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104.09.23 104學年度第2次行政會議通過修正第2點條文</w:t>
      </w:r>
    </w:p>
    <w:p w14:paraId="1B3560C8" w14:textId="77777777" w:rsidR="00A71823" w:rsidRPr="000C3D27" w:rsidRDefault="00A71823" w:rsidP="00A71823">
      <w:pPr>
        <w:snapToGrid w:val="0"/>
        <w:spacing w:line="300" w:lineRule="exact"/>
        <w:jc w:val="right"/>
        <w:rPr>
          <w:rFonts w:ascii="標楷體" w:eastAsia="標楷體" w:hAnsi="標楷體"/>
          <w:sz w:val="20"/>
          <w:szCs w:val="20"/>
        </w:rPr>
      </w:pPr>
      <w:r w:rsidRPr="000C3D27">
        <w:rPr>
          <w:rFonts w:ascii="標楷體" w:eastAsia="標楷體" w:hAnsi="標楷體"/>
          <w:sz w:val="20"/>
          <w:szCs w:val="20"/>
        </w:rPr>
        <w:t>104.10.12 亞洲秘字第1040012884號函發布</w:t>
      </w:r>
    </w:p>
    <w:p w14:paraId="69CE8BFB" w14:textId="77777777" w:rsidR="00A71823" w:rsidRPr="000C3D27" w:rsidRDefault="00A71823" w:rsidP="00A71823">
      <w:pPr>
        <w:widowControl/>
        <w:snapToGrid w:val="0"/>
        <w:spacing w:line="300" w:lineRule="exact"/>
        <w:jc w:val="right"/>
        <w:rPr>
          <w:rFonts w:ascii="標楷體" w:eastAsia="標楷體" w:hAnsi="標楷體"/>
          <w:sz w:val="20"/>
          <w:szCs w:val="20"/>
        </w:rPr>
      </w:pPr>
      <w:r w:rsidRPr="000C3D27">
        <w:rPr>
          <w:rFonts w:ascii="標楷體" w:eastAsia="標楷體" w:hAnsi="標楷體"/>
          <w:sz w:val="20"/>
          <w:szCs w:val="20"/>
        </w:rPr>
        <w:t>108.05.29 107學年度第10次行政會議通過修正第2點條文</w:t>
      </w:r>
    </w:p>
    <w:p w14:paraId="33DD0648" w14:textId="77777777" w:rsidR="00A71823" w:rsidRPr="000C3D27" w:rsidRDefault="00A71823" w:rsidP="00A71823">
      <w:pPr>
        <w:widowControl/>
        <w:snapToGrid w:val="0"/>
        <w:spacing w:line="300" w:lineRule="exact"/>
        <w:jc w:val="right"/>
        <w:rPr>
          <w:rFonts w:ascii="標楷體" w:eastAsia="標楷體" w:hAnsi="標楷體"/>
          <w:sz w:val="20"/>
          <w:szCs w:val="20"/>
        </w:rPr>
      </w:pPr>
      <w:r w:rsidRPr="000C3D27">
        <w:rPr>
          <w:rFonts w:ascii="標楷體" w:eastAsia="標楷體" w:hAnsi="標楷體"/>
          <w:sz w:val="20"/>
          <w:szCs w:val="20"/>
        </w:rPr>
        <w:t>108.06.17亞洲秘字第1080008594號函發布</w:t>
      </w:r>
    </w:p>
    <w:p w14:paraId="4146D9CA" w14:textId="77777777" w:rsidR="00A71823" w:rsidRPr="000C3D27" w:rsidRDefault="00A71823" w:rsidP="00A71823">
      <w:pPr>
        <w:widowControl/>
        <w:snapToGrid w:val="0"/>
        <w:spacing w:line="300" w:lineRule="exact"/>
        <w:jc w:val="right"/>
        <w:rPr>
          <w:rFonts w:ascii="標楷體" w:eastAsia="標楷體" w:hAnsi="標楷體"/>
          <w:sz w:val="20"/>
          <w:szCs w:val="20"/>
        </w:rPr>
      </w:pPr>
      <w:r w:rsidRPr="000C3D27">
        <w:rPr>
          <w:rFonts w:ascii="標楷體" w:eastAsia="標楷體" w:hAnsi="標楷體" w:hint="eastAsia"/>
          <w:sz w:val="20"/>
          <w:szCs w:val="20"/>
        </w:rPr>
        <w:t>111.05.18 110學年度第8次行政會議通過修正第1、2、3、5點條文</w:t>
      </w:r>
    </w:p>
    <w:p w14:paraId="561DE7DC" w14:textId="77777777" w:rsidR="00A71823" w:rsidRDefault="00A71823" w:rsidP="00A71823">
      <w:pPr>
        <w:widowControl/>
        <w:snapToGrid w:val="0"/>
        <w:spacing w:line="300" w:lineRule="exact"/>
        <w:jc w:val="right"/>
        <w:rPr>
          <w:rFonts w:ascii="標楷體" w:eastAsia="標楷體" w:hAnsi="標楷體"/>
          <w:sz w:val="20"/>
          <w:szCs w:val="20"/>
        </w:rPr>
      </w:pPr>
      <w:r w:rsidRPr="000C3D27">
        <w:rPr>
          <w:rFonts w:ascii="標楷體" w:eastAsia="標楷體" w:hAnsi="標楷體" w:hint="eastAsia"/>
          <w:sz w:val="20"/>
          <w:szCs w:val="20"/>
        </w:rPr>
        <w:t>111.05.30 亞洲秘字第1110007266號函發布</w:t>
      </w:r>
    </w:p>
    <w:p w14:paraId="5454B5B7" w14:textId="7374C207" w:rsidR="00A71823" w:rsidRDefault="00A71823" w:rsidP="00A71823">
      <w:pPr>
        <w:widowControl/>
        <w:wordWrap w:val="0"/>
        <w:snapToGrid w:val="0"/>
        <w:spacing w:line="300" w:lineRule="exact"/>
        <w:jc w:val="right"/>
        <w:rPr>
          <w:rFonts w:ascii="標楷體" w:eastAsia="標楷體" w:hAnsi="標楷體"/>
          <w:sz w:val="20"/>
          <w:szCs w:val="20"/>
        </w:rPr>
      </w:pPr>
      <w:r>
        <w:rPr>
          <w:rFonts w:ascii="標楷體" w:eastAsia="標楷體" w:hAnsi="標楷體" w:hint="eastAsia"/>
          <w:sz w:val="20"/>
          <w:szCs w:val="20"/>
        </w:rPr>
        <w:t>113.07.29 112學年度第11次行政會議通過修正第3、4、5、6點條文</w:t>
      </w:r>
    </w:p>
    <w:p w14:paraId="61446DA5" w14:textId="10FD93DB" w:rsidR="009A54E1" w:rsidRPr="009A54E1" w:rsidRDefault="009A54E1" w:rsidP="009A54E1">
      <w:pPr>
        <w:widowControl/>
        <w:wordWrap w:val="0"/>
        <w:snapToGrid w:val="0"/>
        <w:spacing w:line="300" w:lineRule="exact"/>
        <w:jc w:val="right"/>
        <w:rPr>
          <w:rFonts w:ascii="標楷體" w:eastAsia="標楷體" w:hAnsi="標楷體" w:hint="eastAsia"/>
          <w:sz w:val="20"/>
          <w:szCs w:val="20"/>
        </w:rPr>
      </w:pPr>
      <w:r>
        <w:rPr>
          <w:rFonts w:ascii="標楷體" w:eastAsia="標楷體" w:hAnsi="標楷體" w:hint="eastAsia"/>
          <w:sz w:val="20"/>
          <w:szCs w:val="20"/>
        </w:rPr>
        <w:t>113.08.14 亞洲秘字第1130012775號函發布</w:t>
      </w:r>
    </w:p>
    <w:p w14:paraId="50CC22AB" w14:textId="77777777" w:rsidR="00A71823" w:rsidRPr="000C3D27" w:rsidRDefault="00A71823" w:rsidP="00A71823">
      <w:pPr>
        <w:snapToGrid w:val="0"/>
        <w:spacing w:line="300" w:lineRule="exact"/>
        <w:jc w:val="right"/>
        <w:rPr>
          <w:rFonts w:ascii="標楷體" w:eastAsia="標楷體" w:hAnsi="標楷體"/>
          <w:bCs/>
          <w:sz w:val="20"/>
          <w:szCs w:val="20"/>
        </w:rPr>
      </w:pPr>
    </w:p>
    <w:p w14:paraId="425AD742" w14:textId="77777777" w:rsidR="00A71823" w:rsidRPr="000C3D27" w:rsidRDefault="00A71823" w:rsidP="00A71823">
      <w:pPr>
        <w:numPr>
          <w:ilvl w:val="0"/>
          <w:numId w:val="5"/>
        </w:numPr>
        <w:suppressAutoHyphens/>
        <w:autoSpaceDN w:val="0"/>
        <w:jc w:val="both"/>
        <w:textAlignment w:val="baseline"/>
        <w:rPr>
          <w:rFonts w:ascii="標楷體" w:eastAsia="標楷體" w:hAnsi="標楷體"/>
        </w:rPr>
      </w:pPr>
      <w:r w:rsidRPr="000C3D27">
        <w:rPr>
          <w:rFonts w:ascii="標楷體" w:eastAsia="標楷體" w:hAnsi="標楷體"/>
        </w:rPr>
        <w:t>亞洲大學(下稱本校)為提</w:t>
      </w:r>
      <w:r w:rsidRPr="000C3D27">
        <w:rPr>
          <w:rFonts w:ascii="標楷體" w:eastAsia="標楷體" w:hAnsi="標楷體" w:hint="eastAsia"/>
        </w:rPr>
        <w:t>昇</w:t>
      </w:r>
      <w:r w:rsidRPr="000C3D27">
        <w:rPr>
          <w:rFonts w:ascii="標楷體" w:eastAsia="標楷體" w:hAnsi="標楷體"/>
        </w:rPr>
        <w:t>班級導師制度之施行效益，特訂定本校優良班級導師選拔及獎勵實施要點（下稱本要點），以表彰輔導績優、貢獻卓越之班級導師。</w:t>
      </w:r>
    </w:p>
    <w:p w14:paraId="3200D05A" w14:textId="77777777" w:rsidR="00A71823" w:rsidRPr="000C3D27" w:rsidRDefault="00A71823" w:rsidP="00A71823">
      <w:pPr>
        <w:numPr>
          <w:ilvl w:val="0"/>
          <w:numId w:val="5"/>
        </w:numPr>
        <w:suppressAutoHyphens/>
        <w:autoSpaceDN w:val="0"/>
        <w:jc w:val="both"/>
        <w:textAlignment w:val="baseline"/>
        <w:rPr>
          <w:rFonts w:ascii="標楷體" w:eastAsia="標楷體" w:hAnsi="標楷體"/>
        </w:rPr>
      </w:pPr>
      <w:r w:rsidRPr="000C3D27">
        <w:rPr>
          <w:rFonts w:ascii="標楷體" w:eastAsia="標楷體" w:hAnsi="標楷體"/>
        </w:rPr>
        <w:t>優良班級導師候選人之資格為擔任選拔年度整學年之班級導師。尚須具備下列條件：</w:t>
      </w:r>
    </w:p>
    <w:p w14:paraId="6445CA36" w14:textId="77777777" w:rsidR="00A71823" w:rsidRPr="000C3D27" w:rsidRDefault="00A71823" w:rsidP="00A71823">
      <w:pPr>
        <w:ind w:leftChars="250" w:left="1080" w:hangingChars="200" w:hanging="480"/>
        <w:jc w:val="both"/>
        <w:rPr>
          <w:rFonts w:ascii="標楷體" w:eastAsia="標楷體" w:hAnsi="標楷體"/>
          <w:dstrike/>
        </w:rPr>
      </w:pPr>
      <w:r w:rsidRPr="000C3D27">
        <w:rPr>
          <w:rFonts w:ascii="標楷體" w:eastAsia="標楷體" w:hAnsi="標楷體"/>
        </w:rPr>
        <w:t>(</w:t>
      </w:r>
      <w:proofErr w:type="gramStart"/>
      <w:r w:rsidRPr="000C3D27">
        <w:rPr>
          <w:rFonts w:ascii="標楷體" w:eastAsia="標楷體" w:hAnsi="標楷體"/>
        </w:rPr>
        <w:t>一</w:t>
      </w:r>
      <w:proofErr w:type="gramEnd"/>
      <w:r w:rsidRPr="000C3D27">
        <w:rPr>
          <w:rFonts w:ascii="標楷體" w:eastAsia="標楷體" w:hAnsi="標楷體"/>
        </w:rPr>
        <w:t>)班級導師評量結果，上、下學期</w:t>
      </w:r>
      <w:proofErr w:type="gramStart"/>
      <w:r w:rsidRPr="000C3D27">
        <w:rPr>
          <w:rFonts w:ascii="標楷體" w:eastAsia="標楷體" w:hAnsi="標楷體"/>
        </w:rPr>
        <w:t>分數均為4分</w:t>
      </w:r>
      <w:proofErr w:type="gramEnd"/>
      <w:r w:rsidRPr="000C3D27">
        <w:rPr>
          <w:rFonts w:ascii="標楷體" w:eastAsia="標楷體" w:hAnsi="標楷體"/>
        </w:rPr>
        <w:t>以上，上、下學期總和分數為該系前50%；班級導師評量上、下學期</w:t>
      </w:r>
      <w:proofErr w:type="gramStart"/>
      <w:r w:rsidRPr="000C3D27">
        <w:rPr>
          <w:rFonts w:ascii="標楷體" w:eastAsia="標楷體" w:hAnsi="標楷體"/>
        </w:rPr>
        <w:t>填卷率均須</w:t>
      </w:r>
      <w:proofErr w:type="gramEnd"/>
      <w:r w:rsidRPr="000C3D27">
        <w:rPr>
          <w:rFonts w:ascii="標楷體" w:eastAsia="標楷體" w:hAnsi="標楷體"/>
        </w:rPr>
        <w:t>達60%。</w:t>
      </w:r>
    </w:p>
    <w:p w14:paraId="646B5853" w14:textId="77777777" w:rsidR="00A71823" w:rsidRPr="000C3D27" w:rsidRDefault="00A71823" w:rsidP="00A71823">
      <w:pPr>
        <w:ind w:leftChars="250" w:left="1080" w:hangingChars="200" w:hanging="480"/>
        <w:jc w:val="both"/>
        <w:rPr>
          <w:rFonts w:ascii="標楷體" w:eastAsia="標楷體" w:hAnsi="標楷體"/>
          <w:dstrike/>
        </w:rPr>
      </w:pPr>
      <w:r w:rsidRPr="000C3D27">
        <w:rPr>
          <w:rFonts w:ascii="標楷體" w:eastAsia="標楷體" w:hAnsi="標楷體"/>
        </w:rPr>
        <w:t>(二)班級導師評鑑項目中</w:t>
      </w:r>
      <w:r w:rsidRPr="000C3D27">
        <w:rPr>
          <w:rFonts w:ascii="標楷體" w:eastAsia="標楷體" w:hAnsi="標楷體" w:hint="eastAsia"/>
        </w:rPr>
        <w:t>，班級導師評量</w:t>
      </w:r>
      <w:r w:rsidRPr="000C3D27">
        <w:rPr>
          <w:rFonts w:ascii="標楷體" w:eastAsia="標楷體" w:hAnsi="標楷體" w:hint="eastAsia"/>
          <w:kern w:val="0"/>
        </w:rPr>
        <w:t>及學生輔導紀錄</w:t>
      </w:r>
      <w:r w:rsidRPr="000C3D27">
        <w:rPr>
          <w:rFonts w:ascii="標楷體" w:eastAsia="標楷體" w:hAnsi="標楷體"/>
        </w:rPr>
        <w:t>無評比零分</w:t>
      </w:r>
      <w:r w:rsidRPr="000C3D27">
        <w:rPr>
          <w:rFonts w:ascii="標楷體" w:eastAsia="標楷體" w:hAnsi="標楷體" w:hint="eastAsia"/>
        </w:rPr>
        <w:t>，或參與導師會議、班級導師評量、</w:t>
      </w:r>
      <w:r w:rsidRPr="000C3D27">
        <w:rPr>
          <w:rFonts w:ascii="標楷體" w:eastAsia="標楷體" w:hAnsi="標楷體" w:hint="eastAsia"/>
          <w:kern w:val="0"/>
        </w:rPr>
        <w:t>學習關懷輔導、</w:t>
      </w:r>
      <w:proofErr w:type="gramStart"/>
      <w:r w:rsidRPr="000C3D27">
        <w:rPr>
          <w:rFonts w:ascii="標楷體" w:eastAsia="標楷體" w:hAnsi="標楷體" w:hint="eastAsia"/>
          <w:kern w:val="0"/>
        </w:rPr>
        <w:t>學輔時間</w:t>
      </w:r>
      <w:proofErr w:type="gramEnd"/>
      <w:r w:rsidRPr="000C3D27">
        <w:rPr>
          <w:rFonts w:ascii="標楷體" w:eastAsia="標楷體" w:hAnsi="標楷體" w:hint="eastAsia"/>
          <w:kern w:val="0"/>
        </w:rPr>
        <w:t>課程大綱輸入及檢視</w:t>
      </w:r>
      <w:proofErr w:type="gramStart"/>
      <w:r w:rsidRPr="000C3D27">
        <w:rPr>
          <w:rFonts w:ascii="標楷體" w:eastAsia="標楷體" w:hAnsi="標楷體" w:hint="eastAsia"/>
          <w:kern w:val="0"/>
        </w:rPr>
        <w:t>賃</w:t>
      </w:r>
      <w:proofErr w:type="gramEnd"/>
      <w:r w:rsidRPr="000C3D27">
        <w:rPr>
          <w:rFonts w:ascii="標楷體" w:eastAsia="標楷體" w:hAnsi="標楷體" w:hint="eastAsia"/>
          <w:kern w:val="0"/>
        </w:rPr>
        <w:t>居資料無評比為負分者</w:t>
      </w:r>
      <w:r w:rsidRPr="000C3D27">
        <w:rPr>
          <w:rFonts w:ascii="標楷體" w:eastAsia="標楷體" w:hAnsi="標楷體"/>
        </w:rPr>
        <w:t>。</w:t>
      </w:r>
    </w:p>
    <w:p w14:paraId="052858C6" w14:textId="77777777" w:rsidR="00A71823" w:rsidRPr="009A54E1" w:rsidRDefault="00A71823" w:rsidP="00A71823">
      <w:pPr>
        <w:numPr>
          <w:ilvl w:val="0"/>
          <w:numId w:val="5"/>
        </w:numPr>
        <w:suppressAutoHyphens/>
        <w:autoSpaceDN w:val="0"/>
        <w:ind w:leftChars="60" w:left="708" w:hangingChars="235" w:hanging="564"/>
        <w:jc w:val="both"/>
        <w:textAlignment w:val="baseline"/>
        <w:rPr>
          <w:rFonts w:ascii="標楷體" w:eastAsia="標楷體" w:hAnsi="標楷體"/>
        </w:rPr>
      </w:pPr>
      <w:r w:rsidRPr="009A54E1">
        <w:rPr>
          <w:rFonts w:ascii="標楷體" w:eastAsia="標楷體" w:hAnsi="標楷體"/>
        </w:rPr>
        <w:t>優良班級導師選拔於每學年辦理一次，分推薦、初評與</w:t>
      </w:r>
      <w:proofErr w:type="gramStart"/>
      <w:r w:rsidRPr="009A54E1">
        <w:rPr>
          <w:rFonts w:ascii="標楷體" w:eastAsia="標楷體" w:hAnsi="標楷體"/>
        </w:rPr>
        <w:t>複</w:t>
      </w:r>
      <w:proofErr w:type="gramEnd"/>
      <w:r w:rsidRPr="009A54E1">
        <w:rPr>
          <w:rFonts w:ascii="標楷體" w:eastAsia="標楷體" w:hAnsi="標楷體"/>
        </w:rPr>
        <w:t>評三階段辦理。</w:t>
      </w:r>
    </w:p>
    <w:p w14:paraId="77E257A1" w14:textId="77777777" w:rsidR="00A71823" w:rsidRPr="009A54E1" w:rsidRDefault="00A71823" w:rsidP="00A71823">
      <w:pPr>
        <w:ind w:leftChars="300" w:left="1320" w:hangingChars="250" w:hanging="600"/>
        <w:jc w:val="both"/>
        <w:rPr>
          <w:rFonts w:ascii="標楷體" w:eastAsia="標楷體" w:hAnsi="標楷體"/>
        </w:rPr>
      </w:pPr>
      <w:r w:rsidRPr="009A54E1">
        <w:rPr>
          <w:rFonts w:ascii="標楷體" w:eastAsia="標楷體" w:hAnsi="標楷體"/>
        </w:rPr>
        <w:t>推薦：各學系就前述符合資格，推薦輔導績效表現優異之班級導師至所屬學院；各</w:t>
      </w:r>
      <w:proofErr w:type="gramStart"/>
      <w:r w:rsidRPr="009A54E1">
        <w:rPr>
          <w:rFonts w:ascii="標楷體" w:eastAsia="標楷體" w:hAnsi="標楷體"/>
        </w:rPr>
        <w:t>學院參就所</w:t>
      </w:r>
      <w:proofErr w:type="gramEnd"/>
      <w:r w:rsidRPr="009A54E1">
        <w:rPr>
          <w:rFonts w:ascii="標楷體" w:eastAsia="標楷體" w:hAnsi="標楷體"/>
        </w:rPr>
        <w:t>轄各系推薦意見暨導師工作與具體事蹟，於每年十一月底前向學生事務處提出候選人名單，學院最多得推薦每一學系1名候選人。</w:t>
      </w:r>
    </w:p>
    <w:p w14:paraId="4148A211" w14:textId="77777777" w:rsidR="00A71823" w:rsidRPr="009A54E1" w:rsidRDefault="00A71823" w:rsidP="00A71823">
      <w:pPr>
        <w:ind w:leftChars="300" w:left="1440" w:hangingChars="300" w:hanging="720"/>
        <w:jc w:val="both"/>
        <w:rPr>
          <w:rFonts w:ascii="標楷體" w:eastAsia="標楷體" w:hAnsi="標楷體"/>
        </w:rPr>
      </w:pPr>
      <w:r w:rsidRPr="009A54E1">
        <w:rPr>
          <w:rFonts w:ascii="標楷體" w:eastAsia="標楷體" w:hAnsi="標楷體"/>
        </w:rPr>
        <w:t>初評：第一階段經學生事務處審查獲推薦候選人，審查結果確實值得為優良班級導師候選資格者，由學生事務處邀請候選人公開進行輔導經驗與成果發表，其發表成果由學生事務處遴選委員參與評分。</w:t>
      </w:r>
    </w:p>
    <w:p w14:paraId="1A7E3348" w14:textId="77777777" w:rsidR="00A71823" w:rsidRPr="009A54E1" w:rsidRDefault="00A71823" w:rsidP="00A71823">
      <w:pPr>
        <w:ind w:leftChars="600" w:left="1440"/>
        <w:jc w:val="both"/>
        <w:rPr>
          <w:rFonts w:ascii="標楷體" w:eastAsia="標楷體" w:hAnsi="標楷體"/>
        </w:rPr>
      </w:pPr>
      <w:r w:rsidRPr="009A54E1">
        <w:rPr>
          <w:rFonts w:ascii="標楷體" w:eastAsia="標楷體" w:hAnsi="標楷體"/>
        </w:rPr>
        <w:t>第二階段由學生事務處進行審查與評分，評分項目包括由學生事務處與候選人班級導生晤談及候選人佐證資料。</w:t>
      </w:r>
    </w:p>
    <w:p w14:paraId="7682011B" w14:textId="77777777" w:rsidR="00A71823" w:rsidRPr="009A54E1" w:rsidRDefault="00A71823" w:rsidP="00A71823">
      <w:pPr>
        <w:ind w:leftChars="600" w:left="1440"/>
        <w:jc w:val="both"/>
        <w:rPr>
          <w:rFonts w:ascii="標楷體" w:eastAsia="標楷體" w:hAnsi="標楷體"/>
        </w:rPr>
      </w:pPr>
      <w:r w:rsidRPr="009A54E1">
        <w:rPr>
          <w:rFonts w:ascii="標楷體" w:eastAsia="標楷體" w:hAnsi="標楷體"/>
        </w:rPr>
        <w:lastRenderedPageBreak/>
        <w:t>初評階段滿分為100分，各評分項目所</w:t>
      </w:r>
      <w:proofErr w:type="gramStart"/>
      <w:r w:rsidRPr="009A54E1">
        <w:rPr>
          <w:rFonts w:ascii="標楷體" w:eastAsia="標楷體" w:hAnsi="標楷體"/>
        </w:rPr>
        <w:t>佔</w:t>
      </w:r>
      <w:proofErr w:type="gramEnd"/>
      <w:r w:rsidRPr="009A54E1">
        <w:rPr>
          <w:rFonts w:ascii="標楷體" w:eastAsia="標楷體" w:hAnsi="標楷體"/>
        </w:rPr>
        <w:t>比率為(1)候選人之班級導師評鑑分數</w:t>
      </w:r>
      <w:proofErr w:type="gramStart"/>
      <w:r w:rsidRPr="009A54E1">
        <w:rPr>
          <w:rFonts w:ascii="標楷體" w:eastAsia="標楷體" w:hAnsi="標楷體"/>
        </w:rPr>
        <w:t>佔</w:t>
      </w:r>
      <w:proofErr w:type="gramEnd"/>
      <w:r w:rsidRPr="009A54E1">
        <w:rPr>
          <w:rFonts w:ascii="標楷體" w:eastAsia="標楷體" w:hAnsi="標楷體"/>
        </w:rPr>
        <w:t>70%、(2)學生事務處審查與評分</w:t>
      </w:r>
      <w:proofErr w:type="gramStart"/>
      <w:r w:rsidRPr="009A54E1">
        <w:rPr>
          <w:rFonts w:ascii="標楷體" w:eastAsia="標楷體" w:hAnsi="標楷體"/>
        </w:rPr>
        <w:t>佔</w:t>
      </w:r>
      <w:proofErr w:type="gramEnd"/>
      <w:r w:rsidRPr="009A54E1">
        <w:rPr>
          <w:rFonts w:ascii="標楷體" w:eastAsia="標楷體" w:hAnsi="標楷體"/>
        </w:rPr>
        <w:t>15%、(3) 候選人公開進行輔導經驗與成果發表並由學生事務處遴選委員參與評分</w:t>
      </w:r>
      <w:proofErr w:type="gramStart"/>
      <w:r w:rsidRPr="009A54E1">
        <w:rPr>
          <w:rFonts w:ascii="標楷體" w:eastAsia="標楷體" w:hAnsi="標楷體"/>
        </w:rPr>
        <w:t>佔</w:t>
      </w:r>
      <w:proofErr w:type="gramEnd"/>
      <w:r w:rsidRPr="009A54E1">
        <w:rPr>
          <w:rFonts w:ascii="標楷體" w:eastAsia="標楷體" w:hAnsi="標楷體"/>
        </w:rPr>
        <w:t>15％。初評評分完成後，依分數排序進行</w:t>
      </w:r>
      <w:proofErr w:type="gramStart"/>
      <w:r w:rsidRPr="009A54E1">
        <w:rPr>
          <w:rFonts w:ascii="標楷體" w:eastAsia="標楷體" w:hAnsi="標楷體"/>
        </w:rPr>
        <w:t>複</w:t>
      </w:r>
      <w:proofErr w:type="gramEnd"/>
      <w:r w:rsidRPr="009A54E1">
        <w:rPr>
          <w:rFonts w:ascii="標楷體" w:eastAsia="標楷體" w:hAnsi="標楷體"/>
        </w:rPr>
        <w:t>評。</w:t>
      </w:r>
    </w:p>
    <w:p w14:paraId="74717299" w14:textId="77777777" w:rsidR="00A71823" w:rsidRPr="009A54E1" w:rsidRDefault="00A71823" w:rsidP="00A71823">
      <w:pPr>
        <w:ind w:leftChars="300" w:left="1440" w:hangingChars="300" w:hanging="720"/>
        <w:jc w:val="both"/>
        <w:rPr>
          <w:rFonts w:ascii="標楷體" w:eastAsia="標楷體" w:hAnsi="標楷體"/>
        </w:rPr>
      </w:pPr>
      <w:proofErr w:type="gramStart"/>
      <w:r w:rsidRPr="009A54E1">
        <w:rPr>
          <w:rFonts w:ascii="標楷體" w:eastAsia="標楷體" w:hAnsi="標楷體"/>
        </w:rPr>
        <w:t>複</w:t>
      </w:r>
      <w:proofErr w:type="gramEnd"/>
      <w:r w:rsidRPr="009A54E1">
        <w:rPr>
          <w:rFonts w:ascii="標楷體" w:eastAsia="標楷體" w:hAnsi="標楷體"/>
        </w:rPr>
        <w:t>評：由</w:t>
      </w:r>
      <w:proofErr w:type="gramStart"/>
      <w:r w:rsidRPr="009A54E1">
        <w:rPr>
          <w:rFonts w:ascii="標楷體" w:eastAsia="標楷體" w:hAnsi="標楷體"/>
        </w:rPr>
        <w:t>複</w:t>
      </w:r>
      <w:proofErr w:type="gramEnd"/>
      <w:r w:rsidRPr="009A54E1">
        <w:rPr>
          <w:rFonts w:ascii="標楷體" w:eastAsia="標楷體" w:hAnsi="標楷體"/>
        </w:rPr>
        <w:t>評委員會就學生事務處推薦之人選，於十二月底前選出至多6名校級優良班級導師</w:t>
      </w:r>
      <w:r w:rsidRPr="009A54E1">
        <w:rPr>
          <w:rFonts w:ascii="標楷體" w:eastAsia="標楷體" w:hAnsi="標楷體" w:hint="eastAsia"/>
        </w:rPr>
        <w:t>、6名院級優良班級導師。</w:t>
      </w:r>
    </w:p>
    <w:p w14:paraId="3F465949" w14:textId="77777777" w:rsidR="00A71823" w:rsidRPr="009A54E1" w:rsidRDefault="00A71823" w:rsidP="00A71823">
      <w:pPr>
        <w:numPr>
          <w:ilvl w:val="0"/>
          <w:numId w:val="5"/>
        </w:numPr>
        <w:suppressAutoHyphens/>
        <w:autoSpaceDN w:val="0"/>
        <w:ind w:leftChars="53" w:left="657" w:hangingChars="221" w:hanging="530"/>
        <w:jc w:val="both"/>
        <w:textAlignment w:val="baseline"/>
        <w:rPr>
          <w:rFonts w:ascii="標楷體" w:eastAsia="標楷體" w:hAnsi="標楷體"/>
        </w:rPr>
      </w:pPr>
      <w:proofErr w:type="gramStart"/>
      <w:r w:rsidRPr="009A54E1">
        <w:rPr>
          <w:rFonts w:ascii="標楷體" w:eastAsia="標楷體" w:hAnsi="標楷體"/>
        </w:rPr>
        <w:t>複</w:t>
      </w:r>
      <w:proofErr w:type="gramEnd"/>
      <w:r w:rsidRPr="009A54E1">
        <w:rPr>
          <w:rFonts w:ascii="標楷體" w:eastAsia="標楷體" w:hAnsi="標楷體"/>
        </w:rPr>
        <w:t>評委員會由校長、副校長、教務長、學生事務長、總務長組成，以校長為召集人，負責審議選拔原則、審查候選人資格、評選推薦名單及其他有關優良班級導師評選事宜。</w:t>
      </w:r>
    </w:p>
    <w:p w14:paraId="08DC092F" w14:textId="77777777" w:rsidR="00A71823" w:rsidRPr="009A54E1" w:rsidRDefault="00A71823" w:rsidP="00A71823">
      <w:pPr>
        <w:ind w:left="657"/>
        <w:jc w:val="both"/>
        <w:rPr>
          <w:rFonts w:ascii="標楷體" w:eastAsia="標楷體" w:hAnsi="標楷體"/>
        </w:rPr>
      </w:pPr>
      <w:proofErr w:type="gramStart"/>
      <w:r w:rsidRPr="009A54E1">
        <w:rPr>
          <w:rFonts w:ascii="標楷體" w:eastAsia="標楷體" w:hAnsi="標楷體"/>
        </w:rPr>
        <w:t>複</w:t>
      </w:r>
      <w:proofErr w:type="gramEnd"/>
      <w:r w:rsidRPr="009A54E1">
        <w:rPr>
          <w:rFonts w:ascii="標楷體" w:eastAsia="標楷體" w:hAnsi="標楷體"/>
        </w:rPr>
        <w:t>評委員會開會時委員務必親自出席投票，不得由委託他人代理。二分之一以上(含)委員出席始得開議，出席委員過半數之同意始得決議。</w:t>
      </w:r>
    </w:p>
    <w:p w14:paraId="7C59045F" w14:textId="77777777" w:rsidR="00A71823" w:rsidRPr="009A54E1" w:rsidRDefault="00A71823" w:rsidP="00A71823">
      <w:pPr>
        <w:ind w:left="657"/>
        <w:jc w:val="both"/>
        <w:rPr>
          <w:rFonts w:ascii="標楷體" w:eastAsia="標楷體" w:hAnsi="標楷體"/>
        </w:rPr>
      </w:pPr>
      <w:proofErr w:type="gramStart"/>
      <w:r w:rsidRPr="009A54E1">
        <w:rPr>
          <w:rFonts w:ascii="標楷體" w:eastAsia="標楷體" w:hAnsi="標楷體"/>
        </w:rPr>
        <w:t>複</w:t>
      </w:r>
      <w:proofErr w:type="gramEnd"/>
      <w:r w:rsidRPr="009A54E1">
        <w:rPr>
          <w:rFonts w:ascii="標楷體" w:eastAsia="標楷體" w:hAnsi="標楷體"/>
        </w:rPr>
        <w:t>評委員會議如有需要，得請系主任或相關單位代表與會出席說明。</w:t>
      </w:r>
    </w:p>
    <w:p w14:paraId="7E09A878" w14:textId="77777777" w:rsidR="00A71823" w:rsidRPr="009A54E1" w:rsidRDefault="00A71823" w:rsidP="00A71823">
      <w:pPr>
        <w:numPr>
          <w:ilvl w:val="0"/>
          <w:numId w:val="5"/>
        </w:numPr>
        <w:suppressAutoHyphens/>
        <w:autoSpaceDN w:val="0"/>
        <w:ind w:leftChars="53" w:left="657" w:hangingChars="221" w:hanging="530"/>
        <w:jc w:val="both"/>
        <w:textAlignment w:val="baseline"/>
        <w:rPr>
          <w:rFonts w:ascii="標楷體" w:eastAsia="標楷體" w:hAnsi="標楷體"/>
        </w:rPr>
      </w:pPr>
      <w:r w:rsidRPr="009A54E1">
        <w:rPr>
          <w:rFonts w:ascii="標楷體" w:eastAsia="標楷體" w:hAnsi="標楷體"/>
        </w:rPr>
        <w:t>獲選為校級優良班級導師者，由校長在全校性集會中公開表揚，頒發獎金</w:t>
      </w:r>
      <w:proofErr w:type="gramStart"/>
      <w:r w:rsidRPr="009A54E1">
        <w:rPr>
          <w:rFonts w:ascii="標楷體" w:eastAsia="標楷體" w:hAnsi="標楷體" w:hint="eastAsia"/>
        </w:rPr>
        <w:t>貳</w:t>
      </w:r>
      <w:r w:rsidRPr="009A54E1">
        <w:rPr>
          <w:rFonts w:ascii="標楷體" w:eastAsia="標楷體" w:hAnsi="標楷體"/>
        </w:rPr>
        <w:t>萬元暨獎牌</w:t>
      </w:r>
      <w:proofErr w:type="gramEnd"/>
      <w:r w:rsidRPr="009A54E1">
        <w:rPr>
          <w:rFonts w:ascii="標楷體" w:eastAsia="標楷體" w:hAnsi="標楷體"/>
        </w:rPr>
        <w:t>一面，並於學校網頁及</w:t>
      </w:r>
      <w:proofErr w:type="gramStart"/>
      <w:r w:rsidRPr="009A54E1">
        <w:rPr>
          <w:rFonts w:ascii="標楷體" w:eastAsia="標楷體" w:hAnsi="標楷體"/>
        </w:rPr>
        <w:t>相關圖資媒體</w:t>
      </w:r>
      <w:proofErr w:type="gramEnd"/>
      <w:r w:rsidRPr="009A54E1">
        <w:rPr>
          <w:rFonts w:ascii="標楷體" w:eastAsia="標楷體" w:hAnsi="標楷體"/>
        </w:rPr>
        <w:t>刊登優良班級導師獲獎事蹟。</w:t>
      </w:r>
    </w:p>
    <w:p w14:paraId="5390FC74" w14:textId="77777777" w:rsidR="00A71823" w:rsidRPr="009A54E1" w:rsidRDefault="00A71823" w:rsidP="00A71823">
      <w:pPr>
        <w:ind w:left="657"/>
        <w:jc w:val="both"/>
        <w:rPr>
          <w:rFonts w:ascii="標楷體" w:eastAsia="標楷體" w:hAnsi="標楷體"/>
        </w:rPr>
      </w:pPr>
      <w:r w:rsidRPr="009A54E1">
        <w:rPr>
          <w:rFonts w:ascii="標楷體" w:eastAsia="標楷體" w:hAnsi="標楷體"/>
        </w:rPr>
        <w:t>獲選為院級優良班級導師者，</w:t>
      </w:r>
      <w:r w:rsidRPr="009A54E1">
        <w:rPr>
          <w:rFonts w:eastAsia="標楷體" w:hint="eastAsia"/>
          <w:bCs/>
        </w:rPr>
        <w:t>由院主任導師</w:t>
      </w:r>
      <w:r w:rsidRPr="009A54E1">
        <w:rPr>
          <w:rFonts w:eastAsia="標楷體" w:hint="eastAsia"/>
          <w:bCs/>
        </w:rPr>
        <w:t xml:space="preserve"> </w:t>
      </w:r>
      <w:r w:rsidRPr="009A54E1">
        <w:rPr>
          <w:rFonts w:eastAsia="標楷體" w:hint="eastAsia"/>
          <w:bCs/>
        </w:rPr>
        <w:t>在院導師會議中公開頒發</w:t>
      </w:r>
      <w:r w:rsidRPr="009A54E1">
        <w:rPr>
          <w:rFonts w:ascii="標楷體" w:eastAsia="標楷體" w:hAnsi="標楷體"/>
        </w:rPr>
        <w:t>獎金</w:t>
      </w:r>
      <w:proofErr w:type="gramStart"/>
      <w:r w:rsidRPr="009A54E1">
        <w:rPr>
          <w:rFonts w:ascii="標楷體" w:eastAsia="標楷體" w:hAnsi="標楷體" w:hint="eastAsia"/>
        </w:rPr>
        <w:t>伍仟</w:t>
      </w:r>
      <w:r w:rsidRPr="009A54E1">
        <w:rPr>
          <w:rFonts w:ascii="標楷體" w:eastAsia="標楷體" w:hAnsi="標楷體"/>
        </w:rPr>
        <w:t>元</w:t>
      </w:r>
      <w:r w:rsidRPr="009A54E1">
        <w:rPr>
          <w:rFonts w:ascii="標楷體" w:eastAsia="標楷體" w:hAnsi="標楷體" w:hint="eastAsia"/>
        </w:rPr>
        <w:t>暨</w:t>
      </w:r>
      <w:r w:rsidRPr="009A54E1">
        <w:rPr>
          <w:rFonts w:eastAsia="標楷體" w:hint="eastAsia"/>
          <w:bCs/>
        </w:rPr>
        <w:t>獎狀</w:t>
      </w:r>
      <w:proofErr w:type="gramEnd"/>
      <w:r w:rsidRPr="009A54E1">
        <w:rPr>
          <w:rFonts w:eastAsia="標楷體" w:hint="eastAsia"/>
          <w:bCs/>
        </w:rPr>
        <w:t>乙紙。</w:t>
      </w:r>
    </w:p>
    <w:p w14:paraId="7C31C787" w14:textId="77777777" w:rsidR="00A71823" w:rsidRPr="009A54E1" w:rsidRDefault="00A71823" w:rsidP="00A71823">
      <w:pPr>
        <w:numPr>
          <w:ilvl w:val="0"/>
          <w:numId w:val="5"/>
        </w:numPr>
        <w:suppressAutoHyphens/>
        <w:autoSpaceDN w:val="0"/>
        <w:ind w:leftChars="53" w:left="657" w:hangingChars="221" w:hanging="530"/>
        <w:jc w:val="both"/>
        <w:textAlignment w:val="baseline"/>
        <w:rPr>
          <w:rFonts w:ascii="標楷體" w:eastAsia="標楷體" w:hAnsi="標楷體"/>
        </w:rPr>
      </w:pPr>
      <w:r w:rsidRPr="009A54E1">
        <w:rPr>
          <w:rFonts w:ascii="標楷體" w:eastAsia="標楷體" w:hAnsi="標楷體"/>
        </w:rPr>
        <w:t>優良班級導師之名冊由學生</w:t>
      </w:r>
      <w:proofErr w:type="gramStart"/>
      <w:r w:rsidRPr="009A54E1">
        <w:rPr>
          <w:rFonts w:ascii="標楷體" w:eastAsia="標楷體" w:hAnsi="標楷體"/>
        </w:rPr>
        <w:t>事務處送院</w:t>
      </w:r>
      <w:proofErr w:type="gramEnd"/>
      <w:r w:rsidRPr="009A54E1">
        <w:rPr>
          <w:rFonts w:ascii="標楷體" w:eastAsia="標楷體" w:hAnsi="標楷體"/>
        </w:rPr>
        <w:t>、系主任導師、人事室，作為導師經驗傳承及教師升等評審重要參考。</w:t>
      </w:r>
    </w:p>
    <w:p w14:paraId="1CC07AA2" w14:textId="77777777" w:rsidR="00A71823" w:rsidRPr="009A54E1" w:rsidRDefault="00A71823" w:rsidP="00A71823">
      <w:pPr>
        <w:ind w:left="657"/>
        <w:jc w:val="both"/>
        <w:rPr>
          <w:rFonts w:ascii="標楷體" w:eastAsia="標楷體" w:hAnsi="標楷體"/>
        </w:rPr>
      </w:pPr>
      <w:r w:rsidRPr="009A54E1">
        <w:rPr>
          <w:rFonts w:ascii="標楷體" w:eastAsia="標楷體" w:hAnsi="標楷體"/>
        </w:rPr>
        <w:t>凡獲選為校級優良班級導師者，於得獎後次一學年不得再列為優良班級導師之候選人。累積榮獲三次以上校級優良班級導師者，由校長頒發「典範班級導師」獎牌一面，</w:t>
      </w:r>
      <w:r w:rsidRPr="009A54E1">
        <w:rPr>
          <w:rFonts w:ascii="標楷體" w:eastAsia="標楷體" w:hAnsi="標楷體" w:hint="eastAsia"/>
        </w:rPr>
        <w:t>並</w:t>
      </w:r>
      <w:r w:rsidRPr="009A54E1">
        <w:rPr>
          <w:rFonts w:eastAsia="標楷體" w:hint="eastAsia"/>
          <w:kern w:val="0"/>
          <w:szCs w:val="20"/>
        </w:rPr>
        <w:t>於下一學年度得免教師評鑑乙次，</w:t>
      </w:r>
      <w:r w:rsidRPr="009A54E1">
        <w:rPr>
          <w:rFonts w:ascii="標楷體" w:eastAsia="標楷體" w:hAnsi="標楷體"/>
        </w:rPr>
        <w:t>爾後不再為本獎項之獎勵對象。</w:t>
      </w:r>
    </w:p>
    <w:p w14:paraId="1F2D649B" w14:textId="77777777" w:rsidR="00A71823" w:rsidRPr="000C3D27" w:rsidRDefault="00A71823" w:rsidP="00A71823">
      <w:pPr>
        <w:numPr>
          <w:ilvl w:val="0"/>
          <w:numId w:val="5"/>
        </w:numPr>
        <w:suppressAutoHyphens/>
        <w:autoSpaceDN w:val="0"/>
        <w:ind w:leftChars="53" w:left="657" w:hangingChars="221" w:hanging="530"/>
        <w:jc w:val="both"/>
        <w:textAlignment w:val="baseline"/>
      </w:pPr>
      <w:r w:rsidRPr="000C3D27">
        <w:rPr>
          <w:rFonts w:ascii="標楷體" w:eastAsia="標楷體" w:hAnsi="標楷體"/>
        </w:rPr>
        <w:t>本要點經學生事務處處</w:t>
      </w:r>
      <w:proofErr w:type="gramStart"/>
      <w:r w:rsidRPr="000C3D27">
        <w:rPr>
          <w:rFonts w:ascii="標楷體" w:eastAsia="標楷體" w:hAnsi="標楷體"/>
        </w:rPr>
        <w:t>務</w:t>
      </w:r>
      <w:proofErr w:type="gramEnd"/>
      <w:r w:rsidRPr="000C3D27">
        <w:rPr>
          <w:rFonts w:ascii="標楷體" w:eastAsia="標楷體" w:hAnsi="標楷體"/>
        </w:rPr>
        <w:t>會議通過，提請行政會議審議，陳請校長核定後發布施行，修正時亦同。</w:t>
      </w:r>
    </w:p>
    <w:p w14:paraId="2B795A4A" w14:textId="77777777" w:rsidR="00A71823" w:rsidRDefault="00A71823" w:rsidP="00A71823">
      <w:pPr>
        <w:widowControl/>
        <w:rPr>
          <w:rFonts w:eastAsia="標楷體"/>
          <w:b/>
          <w:bCs/>
          <w:color w:val="000000" w:themeColor="text1"/>
          <w:sz w:val="28"/>
          <w:szCs w:val="22"/>
          <w:bdr w:val="single" w:sz="4" w:space="0" w:color="auto"/>
          <w:lang w:eastAsia="x-none"/>
        </w:rPr>
      </w:pPr>
    </w:p>
    <w:p w14:paraId="69898366" w14:textId="77777777" w:rsidR="00C2780F" w:rsidRPr="00A71823" w:rsidRDefault="00C2780F"/>
    <w:sectPr w:rsidR="00C2780F" w:rsidRPr="00A71823" w:rsidSect="00A7182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8519" w14:textId="77777777" w:rsidR="006C12C4" w:rsidRDefault="006C12C4" w:rsidP="009A54E1">
      <w:r>
        <w:separator/>
      </w:r>
    </w:p>
  </w:endnote>
  <w:endnote w:type="continuationSeparator" w:id="0">
    <w:p w14:paraId="45B7DDED" w14:textId="77777777" w:rsidR="006C12C4" w:rsidRDefault="006C12C4" w:rsidP="009A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049D" w14:textId="77777777" w:rsidR="006C12C4" w:rsidRDefault="006C12C4" w:rsidP="009A54E1">
      <w:r>
        <w:separator/>
      </w:r>
    </w:p>
  </w:footnote>
  <w:footnote w:type="continuationSeparator" w:id="0">
    <w:p w14:paraId="6E1B395A" w14:textId="77777777" w:rsidR="006C12C4" w:rsidRDefault="006C12C4" w:rsidP="009A5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322FC"/>
    <w:multiLevelType w:val="hybridMultilevel"/>
    <w:tmpl w:val="8D5684B0"/>
    <w:lvl w:ilvl="0" w:tplc="2B00E350">
      <w:start w:val="5"/>
      <w:numFmt w:val="taiwaneseCountingThousand"/>
      <w:lvlText w:val="%1、"/>
      <w:lvlJc w:val="left"/>
      <w:pPr>
        <w:tabs>
          <w:tab w:val="num" w:pos="622"/>
        </w:tabs>
        <w:ind w:left="622" w:hanging="480"/>
      </w:pPr>
      <w:rPr>
        <w:rFonts w:ascii="標楷體" w:eastAsia="標楷體" w:hAnsi="標楷體" w:cs="Times New Roman" w:hint="eastAsia"/>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656DF1"/>
    <w:multiLevelType w:val="hybridMultilevel"/>
    <w:tmpl w:val="5816BC9A"/>
    <w:lvl w:ilvl="0" w:tplc="556ECB0E">
      <w:start w:val="3"/>
      <w:numFmt w:val="taiwaneseCountingThousand"/>
      <w:lvlText w:val="%1、"/>
      <w:lvlJc w:val="left"/>
      <w:pPr>
        <w:tabs>
          <w:tab w:val="num" w:pos="622"/>
        </w:tabs>
        <w:ind w:left="622" w:hanging="480"/>
      </w:pPr>
      <w:rPr>
        <w:rFonts w:ascii="標楷體" w:eastAsia="標楷體" w:hAnsi="標楷體" w:cs="Times New Roman" w:hint="eastAsia"/>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9082927"/>
    <w:multiLevelType w:val="hybridMultilevel"/>
    <w:tmpl w:val="33A2548A"/>
    <w:lvl w:ilvl="0" w:tplc="1ADCE2FA">
      <w:start w:val="1"/>
      <w:numFmt w:val="taiwaneseCountingThousand"/>
      <w:lvlText w:val="%1、"/>
      <w:lvlJc w:val="left"/>
      <w:pPr>
        <w:tabs>
          <w:tab w:val="num" w:pos="622"/>
        </w:tabs>
        <w:ind w:left="622" w:hanging="480"/>
      </w:pPr>
      <w:rPr>
        <w:rFonts w:ascii="標楷體" w:eastAsia="標楷體" w:hAnsi="標楷體" w:cs="Times New Roman" w:hint="eastAsia"/>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00735B"/>
    <w:multiLevelType w:val="hybridMultilevel"/>
    <w:tmpl w:val="A782B96C"/>
    <w:lvl w:ilvl="0" w:tplc="1474FCF4">
      <w:start w:val="1"/>
      <w:numFmt w:val="taiwaneseCountingThousand"/>
      <w:lvlText w:val="%1、"/>
      <w:lvlJc w:val="left"/>
      <w:pPr>
        <w:ind w:left="301" w:hanging="440"/>
      </w:pPr>
      <w:rPr>
        <w:rFonts w:hint="default"/>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4" w15:restartNumberingAfterBreak="0">
    <w:nsid w:val="6EA21DE4"/>
    <w:multiLevelType w:val="hybridMultilevel"/>
    <w:tmpl w:val="BDB8CD34"/>
    <w:lvl w:ilvl="0" w:tplc="EBB07B7C">
      <w:start w:val="1"/>
      <w:numFmt w:val="taiwaneseCountingThousand"/>
      <w:lvlText w:val="%1、"/>
      <w:lvlJc w:val="left"/>
      <w:pPr>
        <w:ind w:left="484" w:hanging="52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5" w15:restartNumberingAfterBreak="0">
    <w:nsid w:val="6F0E2AD4"/>
    <w:multiLevelType w:val="hybridMultilevel"/>
    <w:tmpl w:val="B866C71A"/>
    <w:lvl w:ilvl="0" w:tplc="ABF68C32">
      <w:start w:val="4"/>
      <w:numFmt w:val="taiwaneseCountingThousand"/>
      <w:lvlText w:val="%1、"/>
      <w:lvlJc w:val="left"/>
      <w:pPr>
        <w:tabs>
          <w:tab w:val="num" w:pos="622"/>
        </w:tabs>
        <w:ind w:left="622" w:hanging="480"/>
      </w:pPr>
      <w:rPr>
        <w:rFonts w:ascii="標楷體" w:eastAsia="標楷體" w:hAnsi="標楷體" w:cs="Times New Roman" w:hint="eastAsia"/>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2B4D46"/>
    <w:multiLevelType w:val="hybridMultilevel"/>
    <w:tmpl w:val="B4F003E0"/>
    <w:lvl w:ilvl="0" w:tplc="556ECB0E">
      <w:start w:val="3"/>
      <w:numFmt w:val="taiwaneseCountingThousand"/>
      <w:lvlText w:val="%1、"/>
      <w:lvlJc w:val="left"/>
      <w:pPr>
        <w:tabs>
          <w:tab w:val="num" w:pos="622"/>
        </w:tabs>
        <w:ind w:left="622" w:hanging="480"/>
      </w:pPr>
      <w:rPr>
        <w:rFonts w:ascii="標楷體" w:eastAsia="標楷體" w:hAnsi="標楷體" w:cs="Times New Roman" w:hint="eastAsia"/>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23"/>
    <w:rsid w:val="000D329E"/>
    <w:rsid w:val="003347D6"/>
    <w:rsid w:val="006C12C4"/>
    <w:rsid w:val="009A54E1"/>
    <w:rsid w:val="00A71823"/>
    <w:rsid w:val="00C27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E2B7F"/>
  <w15:chartTrackingRefBased/>
  <w15:docId w15:val="{0BD7E1E6-B04F-4489-870F-11C723A7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8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4E1"/>
    <w:pPr>
      <w:tabs>
        <w:tab w:val="center" w:pos="4153"/>
        <w:tab w:val="right" w:pos="8306"/>
      </w:tabs>
      <w:snapToGrid w:val="0"/>
    </w:pPr>
    <w:rPr>
      <w:sz w:val="20"/>
      <w:szCs w:val="20"/>
    </w:rPr>
  </w:style>
  <w:style w:type="character" w:customStyle="1" w:styleId="a4">
    <w:name w:val="頁首 字元"/>
    <w:basedOn w:val="a0"/>
    <w:link w:val="a3"/>
    <w:uiPriority w:val="99"/>
    <w:rsid w:val="009A54E1"/>
    <w:rPr>
      <w:rFonts w:ascii="Times New Roman" w:eastAsia="新細明體" w:hAnsi="Times New Roman" w:cs="Times New Roman"/>
      <w:sz w:val="20"/>
      <w:szCs w:val="20"/>
    </w:rPr>
  </w:style>
  <w:style w:type="paragraph" w:styleId="a5">
    <w:name w:val="footer"/>
    <w:basedOn w:val="a"/>
    <w:link w:val="a6"/>
    <w:uiPriority w:val="99"/>
    <w:unhideWhenUsed/>
    <w:rsid w:val="009A54E1"/>
    <w:pPr>
      <w:tabs>
        <w:tab w:val="center" w:pos="4153"/>
        <w:tab w:val="right" w:pos="8306"/>
      </w:tabs>
      <w:snapToGrid w:val="0"/>
    </w:pPr>
    <w:rPr>
      <w:sz w:val="20"/>
      <w:szCs w:val="20"/>
    </w:rPr>
  </w:style>
  <w:style w:type="character" w:customStyle="1" w:styleId="a6">
    <w:name w:val="頁尾 字元"/>
    <w:basedOn w:val="a0"/>
    <w:link w:val="a5"/>
    <w:uiPriority w:val="99"/>
    <w:rsid w:val="009A54E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8D59C-3225-41CB-9D2F-1C33337C1E50}"/>
</file>

<file path=customXml/itemProps2.xml><?xml version="1.0" encoding="utf-8"?>
<ds:datastoreItem xmlns:ds="http://schemas.openxmlformats.org/officeDocument/2006/customXml" ds:itemID="{E0747240-0D8C-43BF-9D7C-944474748059}"/>
</file>

<file path=customXml/itemProps3.xml><?xml version="1.0" encoding="utf-8"?>
<ds:datastoreItem xmlns:ds="http://schemas.openxmlformats.org/officeDocument/2006/customXml" ds:itemID="{DF04FD58-F94F-4B66-B118-A61DB5977D8D}"/>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1684</Characters>
  <Application>Microsoft Office Word</Application>
  <DocSecurity>0</DocSecurity>
  <Lines>14</Lines>
  <Paragraphs>3</Paragraphs>
  <ScaleCrop>false</ScaleCrop>
  <Company>亞洲大學 Asia University</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曉芸 張</dc:creator>
  <cp:keywords/>
  <dc:description/>
  <cp:lastModifiedBy>張曉芸</cp:lastModifiedBy>
  <cp:revision>2</cp:revision>
  <dcterms:created xsi:type="dcterms:W3CDTF">2024-09-06T01:32:00Z</dcterms:created>
  <dcterms:modified xsi:type="dcterms:W3CDTF">2024-09-06T01:32:00Z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0x0101001C2B99D034D1344DBB076DBF6B21C8D9</vt:lpwstr>
  </property>
</Properties>
</file>